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ab135ed4c43f4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28160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PODRAVSKE SESVETE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XII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1.249.733,99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1.371.444,82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995.996,93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1.289.569,85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253.737,06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81.874,97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32,3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18.700,00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1.260.030,14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396.970,92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1.260.030,14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378.270,92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58.084,61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42.845,76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58.084,61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42.845,76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73,8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1.064.377,69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339.241,71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31,9</w:t>
            </w:r>
          </w:p>
        </w:tc>
      </w:tr>
    </w:tbl>
    <w:p>
      <w:pPr>
        <w:spacing w:before="0" w:after="0"/>
      </w:pPr>
    </w:p>
    <w:p>
      <w:r>
        <w:t xml:space="preserve">Troškovi razdoblja bili su veći zbog inflatornih kretanja. Masa plaće je porasla zbog povećanja broja zaposlenih u drugom dijelu godine, te samih plaća, kao i zbog isplaćene naknade plaće po prestanku obnašanja dužnosti u trajanju od 6 mjeseci bivšem načelniku.</w:t>
      </w:r>
    </w:p>
    <w:p>
      <w:r>
        <w:t xml:space="preserve">Prosječan broj zaposlenih u razdoblju od 01.01.2025.-31.12.2025. je bio 14 zaposlenih.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154.242,50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233.921,59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151,7</w:t>
            </w:r>
          </w:p>
        </w:tc>
      </w:tr>
    </w:tbl>
    <w:p>
      <w:pPr>
        <w:spacing w:before="0" w:after="0"/>
      </w:pPr>
    </w:p>
    <w:p>
      <w:r>
        <w:t xml:space="preserve">Plaće za redovan rad – povećani su troškovi jer je su povećani koeficijenti za plaće svih djelatnika u drugom dijelu godine, zaposlen je jedan djelatnik u KP i pripravnica u JUO, te je bivšem načelniku isplaćena naknada plaće po prestanku obnašanja dužnosti u trajanju od 6 mjeseci.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1.100,64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9.911,39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900,5</w:t>
            </w:r>
          </w:p>
        </w:tc>
      </w:tr>
    </w:tbl>
    <w:p>
      <w:pPr>
        <w:spacing w:before="0" w:after="0"/>
      </w:pPr>
    </w:p>
    <w:p>
      <w:r>
        <w:t xml:space="preserve">Nabavljen je sitan inventar za KP i mobiteli za djelatnike kod novog teleoperatera.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13.565,36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23.059,69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170,0</w:t>
            </w:r>
          </w:p>
        </w:tc>
      </w:tr>
    </w:tbl>
    <w:p>
      <w:pPr>
        <w:spacing w:before="0" w:after="0"/>
      </w:pPr>
    </w:p>
    <w:p>
      <w:r>
        <w:t xml:space="preserve">Znatno su povećani troškovi komunalnih usluga i zbrinjavanje otpada te deratizacije i dezinsekcije.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50.902,95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100.527,36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197,5</w:t>
            </w:r>
          </w:p>
        </w:tc>
      </w:tr>
    </w:tbl>
    <w:p>
      <w:pPr>
        <w:spacing w:before="0" w:after="0"/>
      </w:pPr>
    </w:p>
    <w:p>
      <w:r>
        <w:t xml:space="preserve">Intelektualne usluge – korištene su usluge za poslovna savjetovanja, elaborate i idejna rješenja za projekte te se povećao broj ugovora o djelu za određene usluge zbog nedostatka broja djelatnika u prvom dijelu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6.505,00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14.803,70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227,6</w:t>
            </w:r>
          </w:p>
        </w:tc>
      </w:tr>
    </w:tbl>
    <w:p>
      <w:pPr>
        <w:spacing w:before="0" w:after="0"/>
      </w:pPr>
    </w:p>
    <w:p>
      <w:r>
        <w:t xml:space="preserve">Porast troškova računalnih usluga zbog nadogradnje postojećeg programa zbog uvođenja sustava riznice i usklađenja sa zakonskim odredbama.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40.828,90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67.285,33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164,8</w:t>
            </w:r>
          </w:p>
        </w:tc>
      </w:tr>
    </w:tbl>
    <w:p>
      <w:pPr>
        <w:spacing w:before="0" w:after="0"/>
      </w:pPr>
    </w:p>
    <w:p>
      <w:r>
        <w:t xml:space="preserve">Ostali nespomenuti rashodi povećani su zbog lokalnih izbora i povećanja troškova za održavanje kulturnih i sportskih manifestacija.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financijski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5.344,51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13.587,15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254,2</w:t>
            </w:r>
          </w:p>
        </w:tc>
      </w:tr>
    </w:tbl>
    <w:p>
      <w:pPr>
        <w:spacing w:before="0" w:after="0"/>
      </w:pPr>
    </w:p>
    <w:p>
      <w:r>
        <w:t xml:space="preserve">Ostali nespomenuti financijski rashodi povećani su zbog plaćanja po rješenju za NUV za nerazvrstane ceste za 2025.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u novcu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73.721,57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113.117,49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153,4</w:t>
            </w:r>
          </w:p>
        </w:tc>
      </w:tr>
    </w:tbl>
    <w:p>
      <w:pPr>
        <w:spacing w:before="0" w:after="0"/>
      </w:pPr>
    </w:p>
    <w:p>
      <w:r>
        <w:t xml:space="preserve">Povećani su troškovi tekućih donacija u novcu zbog povećanja donacija Vatrogasnoj zajednici, župi i udrugama, osnovana je nova udruga te je plaćena razlika tekućih donacija za Crveni križ za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26.620,40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za plaću su isplaćene u 2026. godini.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88c83c601284efe" /></Relationships>
</file>